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</w:pPr>
      <w:r>
        <w:rPr>
          <w:rFonts w:ascii="Arial" w:hAnsi="Arial"/>
          <w:b/>
          <w:color w:val="ED5B31"/>
          <w:sz w:val="20"/>
        </w:rPr>
        <w:t>ENERGIEUS</w:t>
      </w:r>
    </w:p>
    <w:p>
      <w:pPr>
        <w:spacing w:after="40"/>
      </w:pPr>
      <w:r>
        <w:rPr>
          <w:rFonts w:ascii="Arial" w:hAnsi="Arial"/>
          <w:b/>
          <w:color w:val="10221D"/>
          <w:sz w:val="48"/>
        </w:rPr>
        <w:t>Incident Investigation &amp; Learning Review</w:t>
      </w:r>
    </w:p>
    <w:p>
      <w:pPr>
        <w:spacing w:after="260"/>
      </w:pPr>
      <w:r>
        <w:rPr>
          <w:rFonts w:ascii="Arial" w:hAnsi="Arial"/>
          <w:color w:val="62716C"/>
          <w:sz w:val="21"/>
        </w:rPr>
        <w:t>A practical record for facts, causal analysis, actions and effectiveness checks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500"/>
        <w:gridCol w:w="3180"/>
        <w:gridCol w:w="1500"/>
        <w:gridCol w:w="3180"/>
      </w:tblGrid>
      <w:tr>
        <w:tc>
          <w:tcPr>
            <w:tcW w:type="dxa" w:w="1500"/>
            <w:shd w:fill="EAF1ED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color w:val="10221D"/>
                <w:sz w:val="17"/>
              </w:rPr>
              <w:t>Incident title</w:t>
            </w:r>
          </w:p>
        </w:tc>
        <w:tc>
          <w:tcPr>
            <w:tcW w:type="dxa" w:w="318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</w:r>
          </w:p>
        </w:tc>
        <w:tc>
          <w:tcPr>
            <w:tcW w:type="dxa" w:w="1500"/>
            <w:shd w:fill="EAF1ED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color w:val="10221D"/>
                <w:sz w:val="17"/>
              </w:rPr>
              <w:t>Reference number</w:t>
            </w:r>
          </w:p>
        </w:tc>
        <w:tc>
          <w:tcPr>
            <w:tcW w:type="dxa" w:w="318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</w:r>
          </w:p>
        </w:tc>
      </w:tr>
      <w:tr>
        <w:tc>
          <w:tcPr>
            <w:tcW w:type="dxa" w:w="1500"/>
            <w:shd w:fill="EAF1ED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color w:val="10221D"/>
                <w:sz w:val="17"/>
              </w:rPr>
              <w:t>Site / area</w:t>
            </w:r>
          </w:p>
        </w:tc>
        <w:tc>
          <w:tcPr>
            <w:tcW w:type="dxa" w:w="318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</w:r>
          </w:p>
        </w:tc>
        <w:tc>
          <w:tcPr>
            <w:tcW w:type="dxa" w:w="1500"/>
            <w:shd w:fill="EAF1ED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color w:val="10221D"/>
                <w:sz w:val="17"/>
              </w:rPr>
              <w:t>Date / time</w:t>
            </w:r>
          </w:p>
        </w:tc>
        <w:tc>
          <w:tcPr>
            <w:tcW w:type="dxa" w:w="318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</w:r>
          </w:p>
        </w:tc>
      </w:tr>
      <w:tr>
        <w:tc>
          <w:tcPr>
            <w:tcW w:type="dxa" w:w="1500"/>
            <w:shd w:fill="EAF1ED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color w:val="10221D"/>
                <w:sz w:val="17"/>
              </w:rPr>
              <w:t>Actual consequence</w:t>
            </w:r>
          </w:p>
        </w:tc>
        <w:tc>
          <w:tcPr>
            <w:tcW w:type="dxa" w:w="318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</w:r>
          </w:p>
        </w:tc>
        <w:tc>
          <w:tcPr>
            <w:tcW w:type="dxa" w:w="1500"/>
            <w:shd w:fill="EAF1ED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color w:val="10221D"/>
                <w:sz w:val="17"/>
              </w:rPr>
              <w:t>Potential consequence</w:t>
            </w:r>
          </w:p>
        </w:tc>
        <w:tc>
          <w:tcPr>
            <w:tcW w:type="dxa" w:w="318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</w:r>
          </w:p>
        </w:tc>
      </w:tr>
      <w:tr>
        <w:tc>
          <w:tcPr>
            <w:tcW w:type="dxa" w:w="1500"/>
            <w:shd w:fill="EAF1ED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color w:val="10221D"/>
                <w:sz w:val="17"/>
              </w:rPr>
              <w:t>Investigation lead</w:t>
            </w:r>
          </w:p>
        </w:tc>
        <w:tc>
          <w:tcPr>
            <w:tcW w:type="dxa" w:w="318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</w:r>
          </w:p>
        </w:tc>
        <w:tc>
          <w:tcPr>
            <w:tcW w:type="dxa" w:w="1500"/>
            <w:shd w:fill="EAF1ED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color w:val="10221D"/>
                <w:sz w:val="17"/>
              </w:rPr>
              <w:t>Review due date</w:t>
            </w:r>
          </w:p>
        </w:tc>
        <w:tc>
          <w:tcPr>
            <w:tcW w:type="dxa" w:w="318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</w:r>
          </w:p>
        </w:tc>
      </w:tr>
    </w:tbl>
    <w:p>
      <w:pPr>
        <w:pStyle w:val="Heading1"/>
      </w:pPr>
      <w:r>
        <w:t>1. Initial classification and immediate actions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600"/>
        <w:gridCol w:w="6760"/>
      </w:tblGrid>
      <w:tr>
        <w:tc>
          <w:tcPr>
            <w:tcW w:type="dxa" w:w="2600"/>
            <w:shd w:fill="EAF1ED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  <w:t>Event type</w:t>
            </w:r>
          </w:p>
        </w:tc>
        <w:tc>
          <w:tcPr>
            <w:tcW w:type="dxa" w:w="67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  <w:t>☐ Injury  ☐ Process safety  ☐ Environmental  ☐ Equipment  ☐ Near miss  ☐ Other</w:t>
            </w:r>
          </w:p>
        </w:tc>
      </w:tr>
      <w:tr>
        <w:tc>
          <w:tcPr>
            <w:tcW w:type="dxa" w:w="2600"/>
            <w:shd w:fill="EAF1ED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  <w:t>Area made safe / emergency response</w:t>
            </w:r>
          </w:p>
        </w:tc>
        <w:tc>
          <w:tcPr>
            <w:tcW w:type="dxa" w:w="67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</w:r>
          </w:p>
        </w:tc>
      </w:tr>
      <w:tr>
        <w:tc>
          <w:tcPr>
            <w:tcW w:type="dxa" w:w="2600"/>
            <w:shd w:fill="EAF1ED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  <w:t>Evidence preserved</w:t>
            </w:r>
          </w:p>
        </w:tc>
        <w:tc>
          <w:tcPr>
            <w:tcW w:type="dxa" w:w="67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  <w:t>☐ Photos  ☐ DCS / historian  ☐ CCTV  ☐ Documents  ☐ Parts  ☐ Witness notes</w:t>
            </w:r>
          </w:p>
        </w:tc>
      </w:tr>
      <w:tr>
        <w:tc>
          <w:tcPr>
            <w:tcW w:type="dxa" w:w="2600"/>
            <w:shd w:fill="EAF1ED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  <w:t>Notifications completed</w:t>
            </w:r>
          </w:p>
        </w:tc>
        <w:tc>
          <w:tcPr>
            <w:tcW w:type="dxa" w:w="67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</w:r>
          </w:p>
        </w:tc>
      </w:tr>
      <w:tr>
        <w:tc>
          <w:tcPr>
            <w:tcW w:type="dxa" w:w="2600"/>
            <w:shd w:fill="EAF1ED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  <w:t>Interim controls and operating restrictions</w:t>
            </w:r>
          </w:p>
        </w:tc>
        <w:tc>
          <w:tcPr>
            <w:tcW w:type="dxa" w:w="67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</w:r>
          </w:p>
        </w:tc>
      </w:tr>
    </w:tbl>
    <w:p>
      <w:pPr>
        <w:pStyle w:val="Heading1"/>
      </w:pPr>
      <w:r>
        <w:t>2. What happened</w:t>
      </w:r>
    </w:p>
    <w:p>
      <w:r>
        <w:rPr>
          <w:b/>
          <w:color w:val="0F564B"/>
        </w:rPr>
        <w:t>Concise event statement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</w:tr>
      <w:tr>
        <w:tc>
          <w:tcPr>
            <w:tcW w:type="dxa" w:w="93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</w:tr>
    </w:tbl>
    <w:p>
      <w:r>
        <w:rPr>
          <w:b/>
          <w:color w:val="0F564B"/>
        </w:rPr>
        <w:t>Timeline of relevant conditions and actions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</w:tr>
      <w:tr>
        <w:tc>
          <w:tcPr>
            <w:tcW w:type="dxa" w:w="93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</w:tr>
    </w:tbl>
    <w:p>
      <w:r>
        <w:rPr>
          <w:b/>
          <w:color w:val="0F564B"/>
        </w:rPr>
        <w:t>Normal expectation versus what occurred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</w:tr>
      <w:tr>
        <w:tc>
          <w:tcPr>
            <w:tcW w:type="dxa" w:w="93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</w:tr>
    </w:tbl>
    <w:p>
      <w:pPr>
        <w:pStyle w:val="Heading1"/>
      </w:pPr>
      <w:r>
        <w:t>3. Evidence and people consulted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200"/>
        <w:gridCol w:w="1900"/>
        <w:gridCol w:w="3260"/>
        <w:gridCol w:w="2000"/>
      </w:tblGrid>
      <w:tr>
        <w:tc>
          <w:tcPr>
            <w:tcW w:type="dxa" w:w="2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shd w:fill="0F564B"/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Evidence / person</w:t>
            </w:r>
          </w:p>
        </w:tc>
        <w:tc>
          <w:tcPr>
            <w:tcW w:type="dxa" w:w="19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shd w:fill="0F564B"/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Source or role</w:t>
            </w:r>
          </w:p>
        </w:tc>
        <w:tc>
          <w:tcPr>
            <w:tcW w:type="dxa" w:w="32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shd w:fill="0F564B"/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What it established</w:t>
            </w:r>
          </w:p>
        </w:tc>
        <w:tc>
          <w:tcPr>
            <w:tcW w:type="dxa" w:w="2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shd w:fill="0F564B"/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Location / reference</w:t>
            </w:r>
          </w:p>
        </w:tc>
      </w:tr>
      <w:tr>
        <w:tc>
          <w:tcPr>
            <w:tcW w:type="dxa" w:w="2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19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32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2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</w:tr>
      <w:tr>
        <w:tc>
          <w:tcPr>
            <w:tcW w:type="dxa" w:w="2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19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32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2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</w:tr>
      <w:tr>
        <w:tc>
          <w:tcPr>
            <w:tcW w:type="dxa" w:w="2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19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32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2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</w:tr>
      <w:tr>
        <w:tc>
          <w:tcPr>
            <w:tcW w:type="dxa" w:w="2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19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32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2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</w:tr>
      <w:tr>
        <w:tc>
          <w:tcPr>
            <w:tcW w:type="dxa" w:w="2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19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32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2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</w:tr>
      <w:tr>
        <w:tc>
          <w:tcPr>
            <w:tcW w:type="dxa" w:w="2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19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32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20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</w:tr>
    </w:tbl>
    <w:p>
      <w:pPr>
        <w:pStyle w:val="Heading1"/>
      </w:pPr>
      <w:r>
        <w:t>4. Causal analysis</w:t>
      </w:r>
    </w:p>
    <w:p>
      <w:r>
        <w:t>Separate direct causes from the system conditions that allowed them. Avoid stopping at “operator error” or “procedure not followed.”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800"/>
        <w:gridCol w:w="2600"/>
        <w:gridCol w:w="1560"/>
      </w:tblGrid>
      <w:tr>
        <w:tc>
          <w:tcPr>
            <w:tcW w:type="dxa" w:w="24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shd w:fill="0F564B"/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Finding</w:t>
            </w:r>
          </w:p>
        </w:tc>
        <w:tc>
          <w:tcPr>
            <w:tcW w:type="dxa" w:w="28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shd w:fill="0F564B"/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Evidence</w:t>
            </w:r>
          </w:p>
        </w:tc>
        <w:tc>
          <w:tcPr>
            <w:tcW w:type="dxa" w:w="26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shd w:fill="0F564B"/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Why it mattered</w:t>
            </w:r>
          </w:p>
        </w:tc>
        <w:tc>
          <w:tcPr>
            <w:tcW w:type="dxa" w:w="15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shd w:fill="0F564B"/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Cause type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28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26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15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  <w:t>☐ Immediate  ☐ Contributing  ☐ Root / systemic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28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26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15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  <w:t>☐ Immediate  ☐ Contributing  ☐ Root / systemic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28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26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15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  <w:t>☐ Immediate  ☐ Contributing  ☐ Root / systemic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28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26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15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  <w:t>☐ Immediate  ☐ Contributing  ☐ Root / systemic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28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26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15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  <w:t>☐ Immediate  ☐ Contributing  ☐ Root / systemic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28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26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15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  <w:t>☐ Immediate  ☐ Contributing  ☐ Root / systemic</w:t>
            </w:r>
          </w:p>
        </w:tc>
      </w:tr>
    </w:tbl>
    <w:p>
      <w:pPr>
        <w:pStyle w:val="Heading1"/>
      </w:pPr>
      <w:r>
        <w:t>5. Corrective actions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500"/>
        <w:gridCol w:w="2450"/>
        <w:gridCol w:w="1200"/>
        <w:gridCol w:w="1150"/>
        <w:gridCol w:w="900"/>
        <w:gridCol w:w="950"/>
        <w:gridCol w:w="2210"/>
      </w:tblGrid>
      <w:tr>
        <w:tc>
          <w:tcPr>
            <w:tcW w:type="dxa" w:w="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shd w:fill="0F564B"/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ID</w:t>
            </w:r>
          </w:p>
        </w:tc>
        <w:tc>
          <w:tcPr>
            <w:tcW w:type="dxa" w:w="24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shd w:fill="0F564B"/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Action / deliverable</w:t>
            </w:r>
          </w:p>
        </w:tc>
        <w:tc>
          <w:tcPr>
            <w:tcW w:type="dxa" w:w="1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shd w:fill="0F564B"/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Control level</w:t>
            </w: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shd w:fill="0F564B"/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Owner</w:t>
            </w:r>
          </w:p>
        </w:tc>
        <w:tc>
          <w:tcPr>
            <w:tcW w:type="dxa" w:w="9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shd w:fill="0F564B"/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Due</w:t>
            </w:r>
          </w:p>
        </w:tc>
        <w:tc>
          <w:tcPr>
            <w:tcW w:type="dxa" w:w="9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shd w:fill="0F564B"/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Status</w:t>
            </w:r>
          </w:p>
        </w:tc>
        <w:tc>
          <w:tcPr>
            <w:tcW w:type="dxa" w:w="22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shd w:fill="0F564B"/>
          </w:tcPr>
          <w:p>
            <w:pPr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Effectiveness measure</w:t>
            </w:r>
          </w:p>
        </w:tc>
      </w:tr>
      <w:tr>
        <w:tc>
          <w:tcPr>
            <w:tcW w:type="dxa" w:w="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24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1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9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9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22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</w:tr>
      <w:tr>
        <w:tc>
          <w:tcPr>
            <w:tcW w:type="dxa" w:w="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24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1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9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9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22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</w:tr>
      <w:tr>
        <w:tc>
          <w:tcPr>
            <w:tcW w:type="dxa" w:w="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24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1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9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9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22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</w:tr>
      <w:tr>
        <w:tc>
          <w:tcPr>
            <w:tcW w:type="dxa" w:w="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24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1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9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9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22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</w:tr>
      <w:tr>
        <w:tc>
          <w:tcPr>
            <w:tcW w:type="dxa" w:w="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24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1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9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9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22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</w:tr>
      <w:tr>
        <w:tc>
          <w:tcPr>
            <w:tcW w:type="dxa" w:w="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24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1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9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9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22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</w:tr>
      <w:tr>
        <w:tc>
          <w:tcPr>
            <w:tcW w:type="dxa" w:w="5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24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12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11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90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95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  <w:tc>
          <w:tcPr>
            <w:tcW w:type="dxa" w:w="221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</w:p>
        </w:tc>
      </w:tr>
    </w:tbl>
    <w:p>
      <w:pPr>
        <w:pStyle w:val="Heading1"/>
      </w:pPr>
      <w:r>
        <w:t>6. Learning and close-out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3000"/>
        <w:gridCol w:w="6360"/>
      </w:tblGrid>
      <w:tr>
        <w:tc>
          <w:tcPr>
            <w:tcW w:type="dxa" w:w="3000"/>
            <w:shd w:fill="EAF1ED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  <w:t>Broader applicability / similar equipment</w:t>
            </w:r>
          </w:p>
        </w:tc>
        <w:tc>
          <w:tcPr>
            <w:tcW w:type="dxa" w:w="63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</w:r>
          </w:p>
        </w:tc>
      </w:tr>
      <w:tr>
        <w:tc>
          <w:tcPr>
            <w:tcW w:type="dxa" w:w="3000"/>
            <w:shd w:fill="EAF1ED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  <w:t>Learning communication required</w:t>
            </w:r>
          </w:p>
        </w:tc>
        <w:tc>
          <w:tcPr>
            <w:tcW w:type="dxa" w:w="63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</w:r>
          </w:p>
        </w:tc>
      </w:tr>
      <w:tr>
        <w:tc>
          <w:tcPr>
            <w:tcW w:type="dxa" w:w="3000"/>
            <w:shd w:fill="EAF1ED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  <w:t>Procedures, training, spares or maintenance changes</w:t>
            </w:r>
          </w:p>
        </w:tc>
        <w:tc>
          <w:tcPr>
            <w:tcW w:type="dxa" w:w="63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</w:r>
          </w:p>
        </w:tc>
      </w:tr>
      <w:tr>
        <w:tc>
          <w:tcPr>
            <w:tcW w:type="dxa" w:w="3000"/>
            <w:shd w:fill="EAF1ED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  <w:t>Effectiveness review result and evidence</w:t>
            </w:r>
          </w:p>
        </w:tc>
        <w:tc>
          <w:tcPr>
            <w:tcW w:type="dxa" w:w="63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</w:r>
          </w:p>
        </w:tc>
      </w:tr>
      <w:tr>
        <w:tc>
          <w:tcPr>
            <w:tcW w:type="dxa" w:w="3000"/>
            <w:shd w:fill="EAF1ED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  <w:t>Closure approval / date</w:t>
            </w:r>
          </w:p>
        </w:tc>
        <w:tc>
          <w:tcPr>
            <w:tcW w:type="dxa" w:w="636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40" w:line="252" w:lineRule="auto"/>
            </w:pPr>
            <w:r>
              <w:rPr>
                <w:rFonts w:ascii="Arial" w:hAnsi="Arial"/>
                <w:color w:val="10221D"/>
                <w:sz w:val="17"/>
              </w:rPr>
            </w:r>
          </w:p>
        </w:tc>
      </w:tr>
    </w:tbl>
    <w:p>
      <w:r>
        <w:t>Important: Preserve legal privilege and statutory notification requirements where applicable. Use qualified investigators for high-potential, process-safety or serious events.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037" w:bottom="1037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2716C"/>
        <w:sz w:val="15"/>
      </w:rPr>
      <w:t xml:space="preserve">Editable starting point — adapt, review and approve for your facility  •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62716C"/>
        <w:sz w:val="16"/>
      </w:rPr>
      <w:t>ENERGIEUS  |  OPERATIONS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4" w:lineRule="auto"/>
    </w:pPr>
    <w:rPr>
      <w:rFonts w:ascii="Arial" w:hAnsi="Arial"/>
      <w:color w:val="10221D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0F564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0F564B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0F564B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